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215" w:rsidRDefault="009B3215" w:rsidP="009B3215">
      <w:pPr>
        <w:spacing w:before="100" w:beforeAutospacing="1"/>
        <w:jc w:val="center"/>
        <w:rPr>
          <w:rFonts w:ascii="Times New Roman" w:eastAsia="Times New Roman" w:hAnsi="Times New Roman" w:cs="Times New Roman"/>
          <w:b/>
          <w:bCs/>
          <w:sz w:val="32"/>
          <w:szCs w:val="24"/>
        </w:rPr>
      </w:pPr>
      <w:r w:rsidRPr="009B3215">
        <w:rPr>
          <w:rFonts w:ascii="Times New Roman" w:eastAsia="Times New Roman" w:hAnsi="Times New Roman" w:cs="Times New Roman"/>
          <w:b/>
          <w:bCs/>
          <w:i/>
          <w:sz w:val="32"/>
          <w:szCs w:val="24"/>
        </w:rPr>
        <w:t>Gubernatorial Campaign Finance Law Database</w:t>
      </w:r>
    </w:p>
    <w:p w:rsidR="009B3215" w:rsidRPr="009B3215" w:rsidRDefault="009B3215" w:rsidP="009B3215">
      <w:pPr>
        <w:spacing w:after="100" w:afterAutospacing="1"/>
        <w:jc w:val="center"/>
        <w:rPr>
          <w:rFonts w:ascii="Times New Roman" w:eastAsia="Times New Roman" w:hAnsi="Times New Roman" w:cs="Times New Roman"/>
          <w:b/>
          <w:bCs/>
          <w:sz w:val="36"/>
          <w:szCs w:val="24"/>
        </w:rPr>
      </w:pPr>
      <w:r w:rsidRPr="009B3215">
        <w:rPr>
          <w:sz w:val="24"/>
        </w:rPr>
        <w:t>C</w:t>
      </w:r>
      <w:r w:rsidRPr="009B3215">
        <w:rPr>
          <w:sz w:val="24"/>
        </w:rPr>
        <w:t xml:space="preserve">ompiled by Jennifer M. Jensen and Thad </w:t>
      </w:r>
      <w:proofErr w:type="spellStart"/>
      <w:r w:rsidRPr="009B3215">
        <w:rPr>
          <w:sz w:val="24"/>
        </w:rPr>
        <w:t>Beyle</w:t>
      </w:r>
      <w:proofErr w:type="spellEnd"/>
    </w:p>
    <w:p w:rsidR="009B3215" w:rsidRPr="009B3215" w:rsidRDefault="009B3215" w:rsidP="009B3215">
      <w:pPr>
        <w:spacing w:before="100" w:beforeAutospacing="1" w:after="100" w:afterAutospacing="1"/>
        <w:jc w:val="center"/>
        <w:rPr>
          <w:rFonts w:eastAsia="Times New Roman" w:cstheme="minorHAnsi"/>
        </w:rPr>
      </w:pPr>
      <w:r w:rsidRPr="009B3215">
        <w:rPr>
          <w:rFonts w:eastAsia="Times New Roman" w:cstheme="minorHAnsi"/>
          <w:b/>
          <w:bCs/>
        </w:rPr>
        <w:t>Coding Information</w:t>
      </w:r>
    </w:p>
    <w:p w:rsidR="009B3215" w:rsidRPr="009B3215" w:rsidRDefault="009B3215" w:rsidP="009B3215">
      <w:pPr>
        <w:pStyle w:val="NormalWeb"/>
        <w:rPr>
          <w:rFonts w:asciiTheme="minorHAnsi" w:hAnsiTheme="minorHAnsi" w:cstheme="minorHAnsi"/>
          <w:sz w:val="22"/>
          <w:szCs w:val="22"/>
        </w:rPr>
      </w:pPr>
      <w:r w:rsidRPr="009B3215">
        <w:rPr>
          <w:rFonts w:asciiTheme="minorHAnsi" w:hAnsiTheme="minorHAnsi" w:cstheme="minorHAnsi"/>
          <w:sz w:val="22"/>
          <w:szCs w:val="22"/>
        </w:rPr>
        <w:t>T</w:t>
      </w:r>
      <w:r w:rsidRPr="009B3215">
        <w:rPr>
          <w:rFonts w:asciiTheme="minorHAnsi" w:hAnsiTheme="minorHAnsi" w:cstheme="minorHAnsi"/>
          <w:sz w:val="22"/>
          <w:szCs w:val="22"/>
        </w:rPr>
        <w:t>he Gubernatoria</w:t>
      </w:r>
      <w:r w:rsidRPr="009B3215">
        <w:rPr>
          <w:rFonts w:asciiTheme="minorHAnsi" w:hAnsiTheme="minorHAnsi" w:cstheme="minorHAnsi"/>
          <w:sz w:val="22"/>
          <w:szCs w:val="22"/>
        </w:rPr>
        <w:t>l Campaign Finance Law Database was</w:t>
      </w:r>
      <w:r w:rsidRPr="009B3215">
        <w:rPr>
          <w:rFonts w:asciiTheme="minorHAnsi" w:hAnsiTheme="minorHAnsi" w:cstheme="minorHAnsi"/>
          <w:sz w:val="22"/>
          <w:szCs w:val="22"/>
        </w:rPr>
        <w:t xml:space="preserve"> compiled by Jennifer M. Jensen and </w:t>
      </w:r>
      <w:bookmarkStart w:id="0" w:name="_GoBack"/>
      <w:bookmarkEnd w:id="0"/>
      <w:r w:rsidRPr="009B3215">
        <w:rPr>
          <w:rFonts w:asciiTheme="minorHAnsi" w:hAnsiTheme="minorHAnsi" w:cstheme="minorHAnsi"/>
          <w:sz w:val="22"/>
          <w:szCs w:val="22"/>
        </w:rPr>
        <w:t xml:space="preserve">Thad </w:t>
      </w:r>
      <w:proofErr w:type="spellStart"/>
      <w:r w:rsidRPr="009B3215">
        <w:rPr>
          <w:rFonts w:asciiTheme="minorHAnsi" w:hAnsiTheme="minorHAnsi" w:cstheme="minorHAnsi"/>
          <w:sz w:val="22"/>
          <w:szCs w:val="22"/>
        </w:rPr>
        <w:t>Beyle</w:t>
      </w:r>
      <w:proofErr w:type="spellEnd"/>
      <w:r w:rsidRPr="009B3215">
        <w:rPr>
          <w:rFonts w:asciiTheme="minorHAnsi" w:hAnsiTheme="minorHAnsi" w:cstheme="minorHAnsi"/>
          <w:sz w:val="22"/>
          <w:szCs w:val="22"/>
        </w:rPr>
        <w:t xml:space="preserve">, professor emeritus at the University of North Carolina.   </w:t>
      </w:r>
      <w:r w:rsidRPr="009B3215">
        <w:rPr>
          <w:rFonts w:asciiTheme="minorHAnsi" w:hAnsiTheme="minorHAnsi" w:cstheme="minorHAnsi"/>
          <w:sz w:val="22"/>
          <w:szCs w:val="22"/>
        </w:rPr>
        <w:fldChar w:fldCharType="begin"/>
      </w:r>
      <w:r w:rsidRPr="009B3215">
        <w:rPr>
          <w:rFonts w:asciiTheme="minorHAnsi" w:hAnsiTheme="minorHAnsi" w:cstheme="minorHAnsi"/>
          <w:sz w:val="22"/>
          <w:szCs w:val="22"/>
        </w:rPr>
        <w:instrText xml:space="preserve"> HYPERLINK "https://frankvandervalk.com/" \t "_blank" </w:instrText>
      </w:r>
      <w:r w:rsidRPr="009B3215">
        <w:rPr>
          <w:rFonts w:asciiTheme="minorHAnsi" w:hAnsiTheme="minorHAnsi" w:cstheme="minorHAnsi"/>
          <w:sz w:val="22"/>
          <w:szCs w:val="22"/>
        </w:rPr>
        <w:fldChar w:fldCharType="separate"/>
      </w:r>
      <w:r w:rsidRPr="009B3215">
        <w:rPr>
          <w:rStyle w:val="Hyperlink"/>
          <w:rFonts w:asciiTheme="minorHAnsi" w:hAnsiTheme="minorHAnsi" w:cstheme="minorHAnsi"/>
          <w:sz w:val="22"/>
          <w:szCs w:val="22"/>
        </w:rPr>
        <w:t xml:space="preserve">Frank Vander </w:t>
      </w:r>
      <w:proofErr w:type="spellStart"/>
      <w:r w:rsidRPr="009B3215">
        <w:rPr>
          <w:rStyle w:val="Hyperlink"/>
          <w:rFonts w:asciiTheme="minorHAnsi" w:hAnsiTheme="minorHAnsi" w:cstheme="minorHAnsi"/>
          <w:sz w:val="22"/>
          <w:szCs w:val="22"/>
        </w:rPr>
        <w:t>Valk</w:t>
      </w:r>
      <w:proofErr w:type="spellEnd"/>
      <w:r w:rsidRPr="009B3215">
        <w:rPr>
          <w:rFonts w:asciiTheme="minorHAnsi" w:hAnsiTheme="minorHAnsi" w:cstheme="minorHAnsi"/>
          <w:sz w:val="22"/>
          <w:szCs w:val="22"/>
        </w:rPr>
        <w:fldChar w:fldCharType="end"/>
      </w:r>
      <w:r w:rsidRPr="009B3215">
        <w:rPr>
          <w:rFonts w:asciiTheme="minorHAnsi" w:hAnsiTheme="minorHAnsi" w:cstheme="minorHAnsi"/>
          <w:sz w:val="22"/>
          <w:szCs w:val="22"/>
        </w:rPr>
        <w:t xml:space="preserve">, </w:t>
      </w:r>
      <w:r w:rsidR="009F6137">
        <w:rPr>
          <w:rFonts w:asciiTheme="minorHAnsi" w:hAnsiTheme="minorHAnsi" w:cstheme="minorHAnsi"/>
          <w:sz w:val="22"/>
          <w:szCs w:val="22"/>
        </w:rPr>
        <w:t xml:space="preserve">then </w:t>
      </w:r>
      <w:r w:rsidRPr="009B3215">
        <w:rPr>
          <w:rFonts w:asciiTheme="minorHAnsi" w:hAnsiTheme="minorHAnsi" w:cstheme="minorHAnsi"/>
          <w:sz w:val="22"/>
          <w:szCs w:val="22"/>
        </w:rPr>
        <w:t>a doctoral student at the University at Albany, provided extensive research assistance.</w:t>
      </w:r>
    </w:p>
    <w:p w:rsidR="009B3215" w:rsidRPr="009B3215" w:rsidRDefault="009B3215" w:rsidP="009B3215">
      <w:pPr>
        <w:pStyle w:val="NormalWeb"/>
        <w:rPr>
          <w:rFonts w:asciiTheme="minorHAnsi" w:hAnsiTheme="minorHAnsi" w:cstheme="minorHAnsi"/>
          <w:sz w:val="22"/>
          <w:szCs w:val="22"/>
        </w:rPr>
      </w:pPr>
      <w:r w:rsidRPr="009B3215">
        <w:rPr>
          <w:rFonts w:asciiTheme="minorHAnsi" w:hAnsiTheme="minorHAnsi" w:cstheme="minorHAnsi"/>
          <w:sz w:val="22"/>
          <w:szCs w:val="22"/>
        </w:rPr>
        <w:t xml:space="preserve">We ask that you include a citation in all papers that use these data. Please refer to the database as the Gubernatorial Campaign Finance Database, compiled by Thad </w:t>
      </w:r>
      <w:proofErr w:type="spellStart"/>
      <w:r w:rsidRPr="009B3215">
        <w:rPr>
          <w:rFonts w:asciiTheme="minorHAnsi" w:hAnsiTheme="minorHAnsi" w:cstheme="minorHAnsi"/>
          <w:sz w:val="22"/>
          <w:szCs w:val="22"/>
        </w:rPr>
        <w:t>Beyle</w:t>
      </w:r>
      <w:proofErr w:type="spellEnd"/>
      <w:r w:rsidRPr="009B3215">
        <w:rPr>
          <w:rFonts w:asciiTheme="minorHAnsi" w:hAnsiTheme="minorHAnsi" w:cstheme="minorHAnsi"/>
          <w:sz w:val="22"/>
          <w:szCs w:val="22"/>
        </w:rPr>
        <w:t xml:space="preserve"> and Jennifer M. Jensen. For further information, see the following:</w:t>
      </w:r>
    </w:p>
    <w:p w:rsidR="009B3215" w:rsidRPr="009B3215" w:rsidRDefault="009B3215" w:rsidP="009B3215">
      <w:pPr>
        <w:pStyle w:val="NormalWeb"/>
        <w:ind w:left="600"/>
        <w:rPr>
          <w:rFonts w:asciiTheme="minorHAnsi" w:hAnsiTheme="minorHAnsi" w:cstheme="minorHAnsi"/>
          <w:sz w:val="22"/>
          <w:szCs w:val="22"/>
        </w:rPr>
      </w:pPr>
      <w:r w:rsidRPr="009B3215">
        <w:rPr>
          <w:rStyle w:val="Emphasis"/>
          <w:rFonts w:asciiTheme="minorHAnsi" w:hAnsiTheme="minorHAnsi" w:cstheme="minorHAnsi"/>
          <w:sz w:val="22"/>
          <w:szCs w:val="22"/>
        </w:rPr>
        <w:t xml:space="preserve">Jensen, Jennifer M. and Thad </w:t>
      </w:r>
      <w:proofErr w:type="spellStart"/>
      <w:r w:rsidRPr="009B3215">
        <w:rPr>
          <w:rStyle w:val="Emphasis"/>
          <w:rFonts w:asciiTheme="minorHAnsi" w:hAnsiTheme="minorHAnsi" w:cstheme="minorHAnsi"/>
          <w:sz w:val="22"/>
          <w:szCs w:val="22"/>
        </w:rPr>
        <w:t>Beyle</w:t>
      </w:r>
      <w:proofErr w:type="spellEnd"/>
      <w:r w:rsidRPr="009B3215">
        <w:rPr>
          <w:rStyle w:val="Emphasis"/>
          <w:rFonts w:asciiTheme="minorHAnsi" w:hAnsiTheme="minorHAnsi" w:cstheme="minorHAnsi"/>
          <w:sz w:val="22"/>
          <w:szCs w:val="22"/>
        </w:rPr>
        <w:t xml:space="preserve">. 2003. "Of Footnotes, Missing Data, and Lessons for 50-State Data Collection: </w:t>
      </w:r>
      <w:r w:rsidRPr="009B3215">
        <w:rPr>
          <w:rFonts w:asciiTheme="minorHAnsi" w:hAnsiTheme="minorHAnsi" w:cstheme="minorHAnsi"/>
          <w:sz w:val="22"/>
          <w:szCs w:val="22"/>
        </w:rPr>
        <w:t>The Gubernatorial Campaign Finance Project, 1977-2001</w:t>
      </w:r>
      <w:r w:rsidRPr="009B3215">
        <w:rPr>
          <w:rStyle w:val="Emphasis"/>
          <w:rFonts w:asciiTheme="minorHAnsi" w:hAnsiTheme="minorHAnsi" w:cstheme="minorHAnsi"/>
          <w:sz w:val="22"/>
          <w:szCs w:val="22"/>
        </w:rPr>
        <w:t>." State Politics and Policy Quarterly 3 (</w:t>
      </w:r>
      <w:proofErr w:type="gramStart"/>
      <w:r w:rsidRPr="009B3215">
        <w:rPr>
          <w:rStyle w:val="Emphasis"/>
          <w:rFonts w:asciiTheme="minorHAnsi" w:hAnsiTheme="minorHAnsi" w:cstheme="minorHAnsi"/>
          <w:sz w:val="22"/>
          <w:szCs w:val="22"/>
        </w:rPr>
        <w:t>Summer</w:t>
      </w:r>
      <w:proofErr w:type="gramEnd"/>
      <w:r w:rsidRPr="009B3215">
        <w:rPr>
          <w:rStyle w:val="Emphasis"/>
          <w:rFonts w:asciiTheme="minorHAnsi" w:hAnsiTheme="minorHAnsi" w:cstheme="minorHAnsi"/>
          <w:sz w:val="22"/>
          <w:szCs w:val="22"/>
        </w:rPr>
        <w:t>): 203-214.</w:t>
      </w:r>
    </w:p>
    <w:p w:rsidR="009B3215" w:rsidRPr="009B3215" w:rsidRDefault="009B3215" w:rsidP="009B3215">
      <w:pPr>
        <w:pStyle w:val="NormalWeb"/>
        <w:rPr>
          <w:rFonts w:asciiTheme="minorHAnsi" w:hAnsiTheme="minorHAnsi" w:cstheme="minorHAnsi"/>
          <w:sz w:val="22"/>
          <w:szCs w:val="22"/>
        </w:rPr>
      </w:pPr>
      <w:r w:rsidRPr="009B3215">
        <w:rPr>
          <w:rFonts w:asciiTheme="minorHAnsi" w:hAnsiTheme="minorHAnsi" w:cstheme="minorHAnsi"/>
          <w:sz w:val="22"/>
          <w:szCs w:val="22"/>
        </w:rPr>
        <w:t>These data are presented in a series of Microsoft Excel spreadsheets. There are five sets of spreadsheets; each set has individual spreadsheets detailing the laws in different years. The data were collected from the U.S. Federal Election Commission's Campaign Finance Law series. The FEC published this document triennially starting in 1977; since 1984 it has been published biennially. Details regarding the database are found in our SPPQ article.</w:t>
      </w:r>
    </w:p>
    <w:p w:rsidR="009B3215" w:rsidRPr="009B3215" w:rsidRDefault="009B3215" w:rsidP="009B3215">
      <w:pPr>
        <w:spacing w:before="100" w:beforeAutospacing="1" w:after="100" w:afterAutospacing="1"/>
        <w:rPr>
          <w:rFonts w:eastAsia="Times New Roman" w:cstheme="minorHAnsi"/>
        </w:rPr>
      </w:pPr>
      <w:r w:rsidRPr="009B3215">
        <w:rPr>
          <w:rFonts w:eastAsia="Times New Roman" w:cstheme="minorHAnsi"/>
          <w:bCs/>
        </w:rPr>
        <w:t xml:space="preserve">All data were drawn from the Federal Election Commission’s </w:t>
      </w:r>
      <w:r w:rsidRPr="009B3215">
        <w:rPr>
          <w:rFonts w:eastAsia="Times New Roman" w:cstheme="minorHAnsi"/>
          <w:bCs/>
          <w:i/>
          <w:iCs/>
        </w:rPr>
        <w:t>Campaign Finance Law</w:t>
      </w:r>
      <w:r w:rsidRPr="009B3215">
        <w:rPr>
          <w:rFonts w:eastAsia="Times New Roman" w:cstheme="minorHAnsi"/>
          <w:bCs/>
        </w:rPr>
        <w:t xml:space="preserve"> series of publications.  If you have particular concerns about a given variable and/or year, we encourage you to refer to the relevant hard copy of the publication.</w:t>
      </w:r>
    </w:p>
    <w:p w:rsidR="009B3215" w:rsidRPr="009B3215" w:rsidRDefault="009B3215" w:rsidP="009B3215">
      <w:pPr>
        <w:spacing w:before="100" w:beforeAutospacing="1" w:after="100" w:afterAutospacing="1"/>
        <w:rPr>
          <w:rFonts w:eastAsia="Times New Roman" w:cstheme="minorHAnsi"/>
        </w:rPr>
      </w:pPr>
      <w:r w:rsidRPr="009B3215">
        <w:rPr>
          <w:rFonts w:eastAsia="Times New Roman" w:cstheme="minorHAnsi"/>
          <w:bCs/>
        </w:rPr>
        <w:t xml:space="preserve">In all cases, 1=yes and 0=no.  However, </w:t>
      </w:r>
      <w:r w:rsidRPr="009B3215">
        <w:rPr>
          <w:rFonts w:eastAsia="Times New Roman" w:cstheme="minorHAnsi"/>
          <w:bCs/>
          <w:u w:val="single"/>
        </w:rPr>
        <w:t>please note</w:t>
      </w:r>
      <w:r w:rsidRPr="009B3215">
        <w:rPr>
          <w:rFonts w:eastAsia="Times New Roman" w:cstheme="minorHAnsi"/>
          <w:bCs/>
        </w:rPr>
        <w:t xml:space="preserve"> that in many cases the coding of “1” is replaced by more specific text explanation in the cell.</w:t>
      </w:r>
    </w:p>
    <w:p w:rsidR="009B3215" w:rsidRPr="009B3215" w:rsidRDefault="009B3215" w:rsidP="009B3215">
      <w:pPr>
        <w:spacing w:before="100" w:beforeAutospacing="1" w:after="100" w:afterAutospacing="1"/>
        <w:rPr>
          <w:rFonts w:eastAsia="Times New Roman" w:cstheme="minorHAnsi"/>
        </w:rPr>
      </w:pPr>
      <w:r w:rsidRPr="009B3215">
        <w:rPr>
          <w:rFonts w:eastAsia="Times New Roman" w:cstheme="minorHAnsi"/>
          <w:b/>
          <w:bCs/>
        </w:rPr>
        <w:t> </w:t>
      </w:r>
    </w:p>
    <w:p w:rsidR="009B3215" w:rsidRPr="009B3215" w:rsidRDefault="009B3215" w:rsidP="009B3215">
      <w:pPr>
        <w:spacing w:before="100" w:beforeAutospacing="1" w:after="100" w:afterAutospacing="1"/>
        <w:rPr>
          <w:rFonts w:eastAsia="Times New Roman" w:cstheme="minorHAnsi"/>
        </w:rPr>
      </w:pPr>
      <w:r w:rsidRPr="009B3215">
        <w:rPr>
          <w:rFonts w:eastAsia="Times New Roman" w:cstheme="minorHAnsi"/>
          <w:b/>
          <w:bCs/>
          <w:u w:val="single"/>
        </w:rPr>
        <w:t>State Laws Regarding Gubernatorial Campaign Filing Deadlines</w:t>
      </w:r>
    </w:p>
    <w:p w:rsidR="009B3215" w:rsidRPr="009B3215" w:rsidRDefault="009B3215" w:rsidP="009B3215">
      <w:pPr>
        <w:tabs>
          <w:tab w:val="left" w:pos="720"/>
        </w:tabs>
        <w:ind w:left="720" w:hanging="360"/>
        <w:outlineLvl w:val="0"/>
        <w:rPr>
          <w:rFonts w:eastAsia="Times New Roman" w:cstheme="minorHAnsi"/>
          <w:b/>
          <w:bCs/>
          <w:kern w:val="36"/>
        </w:rPr>
      </w:pPr>
      <w:r w:rsidRPr="009B3215">
        <w:rPr>
          <w:rFonts w:eastAsia="Times New Roman" w:cstheme="minorHAnsi"/>
          <w:b/>
          <w:bCs/>
          <w:kern w:val="36"/>
        </w:rPr>
        <w:t>Gubernatorial candidate must file</w:t>
      </w:r>
      <w:proofErr w:type="gramStart"/>
      <w:r w:rsidRPr="009B3215">
        <w:rPr>
          <w:rFonts w:eastAsia="Times New Roman" w:cstheme="minorHAnsi"/>
          <w:b/>
          <w:bCs/>
          <w:kern w:val="36"/>
        </w:rPr>
        <w:t>:</w:t>
      </w:r>
      <w:proofErr w:type="gramEnd"/>
      <w:r w:rsidRPr="009B3215">
        <w:rPr>
          <w:rFonts w:eastAsia="Times New Roman" w:cstheme="minorHAnsi"/>
          <w:b/>
          <w:bCs/>
          <w:kern w:val="36"/>
        </w:rPr>
        <w:br/>
      </w:r>
      <w:r w:rsidRPr="009B3215">
        <w:rPr>
          <w:rFonts w:eastAsia="Times New Roman" w:cstheme="minorHAnsi"/>
          <w:kern w:val="36"/>
        </w:rPr>
        <w:t>Coded 1 if either the candidate or candidate committee is required to file.</w:t>
      </w:r>
    </w:p>
    <w:p w:rsidR="009B3215" w:rsidRPr="009B3215" w:rsidRDefault="009B3215" w:rsidP="009B3215">
      <w:pPr>
        <w:spacing w:before="100" w:beforeAutospacing="1" w:after="100" w:afterAutospacing="1"/>
        <w:ind w:left="720" w:hanging="360"/>
        <w:rPr>
          <w:rFonts w:eastAsia="Times New Roman" w:cstheme="minorHAnsi"/>
        </w:rPr>
      </w:pPr>
      <w:r w:rsidRPr="009B3215">
        <w:rPr>
          <w:rFonts w:eastAsia="Times New Roman" w:cstheme="minorHAnsi"/>
          <w:b/>
          <w:bCs/>
        </w:rPr>
        <w:t>30-60 days before election, and 7-29 days before election</w:t>
      </w:r>
      <w:proofErr w:type="gramStart"/>
      <w:r w:rsidRPr="009B3215">
        <w:rPr>
          <w:rFonts w:eastAsia="Times New Roman" w:cstheme="minorHAnsi"/>
          <w:b/>
          <w:bCs/>
        </w:rPr>
        <w:t>:</w:t>
      </w:r>
      <w:proofErr w:type="gramEnd"/>
      <w:r w:rsidRPr="009B3215">
        <w:rPr>
          <w:rFonts w:eastAsia="Times New Roman" w:cstheme="minorHAnsi"/>
        </w:rPr>
        <w:br/>
        <w:t>Coded 1 if required for either primary or general elections, or both.</w:t>
      </w:r>
    </w:p>
    <w:p w:rsidR="009B3215" w:rsidRPr="009B3215" w:rsidRDefault="009B3215" w:rsidP="009B3215">
      <w:pPr>
        <w:spacing w:before="100" w:beforeAutospacing="1" w:after="100" w:afterAutospacing="1"/>
        <w:ind w:left="720"/>
        <w:rPr>
          <w:rFonts w:eastAsia="Times New Roman" w:cstheme="minorHAnsi"/>
        </w:rPr>
      </w:pPr>
      <w:r w:rsidRPr="009B3215">
        <w:rPr>
          <w:rFonts w:eastAsia="Times New Roman" w:cstheme="minorHAnsi"/>
          <w:b/>
          <w:bCs/>
        </w:rPr>
        <w:t>Late donations trigger special report</w:t>
      </w:r>
      <w:proofErr w:type="gramStart"/>
      <w:r w:rsidRPr="009B3215">
        <w:rPr>
          <w:rFonts w:eastAsia="Times New Roman" w:cstheme="minorHAnsi"/>
          <w:b/>
          <w:bCs/>
        </w:rPr>
        <w:t>:</w:t>
      </w:r>
      <w:proofErr w:type="gramEnd"/>
      <w:r w:rsidRPr="009B3215">
        <w:rPr>
          <w:rFonts w:eastAsia="Times New Roman" w:cstheme="minorHAnsi"/>
        </w:rPr>
        <w:br/>
        <w:t xml:space="preserve">Coded 1 if late donations trigger a requirement to file a special report.  This is regardless of the number of days before an election defined as “late” (e.g. “2 days before”; “after last reporting period”; “between 2 and 6 days before election”).  </w:t>
      </w:r>
    </w:p>
    <w:p w:rsidR="009B3215" w:rsidRPr="009B3215" w:rsidRDefault="009B3215" w:rsidP="009B3215">
      <w:pPr>
        <w:spacing w:before="100" w:beforeAutospacing="1" w:after="100" w:afterAutospacing="1"/>
        <w:ind w:left="720" w:hanging="360"/>
        <w:rPr>
          <w:rFonts w:eastAsia="Times New Roman" w:cstheme="minorHAnsi"/>
        </w:rPr>
      </w:pPr>
      <w:r w:rsidRPr="009B3215">
        <w:rPr>
          <w:rFonts w:eastAsia="Times New Roman" w:cstheme="minorHAnsi"/>
          <w:b/>
          <w:bCs/>
        </w:rPr>
        <w:t>Filing within 30 days after an election</w:t>
      </w:r>
      <w:proofErr w:type="gramStart"/>
      <w:r w:rsidRPr="009B3215">
        <w:rPr>
          <w:rFonts w:eastAsia="Times New Roman" w:cstheme="minorHAnsi"/>
          <w:b/>
          <w:bCs/>
        </w:rPr>
        <w:t>:</w:t>
      </w:r>
      <w:proofErr w:type="gramEnd"/>
      <w:r w:rsidRPr="009B3215">
        <w:rPr>
          <w:rFonts w:eastAsia="Times New Roman" w:cstheme="minorHAnsi"/>
        </w:rPr>
        <w:br/>
        <w:t xml:space="preserve">Coded 1 for either primary or general election, or both.  Filing requirements that were not </w:t>
      </w:r>
      <w:r w:rsidRPr="009B3215">
        <w:rPr>
          <w:rFonts w:eastAsia="Times New Roman" w:cstheme="minorHAnsi"/>
        </w:rPr>
        <w:lastRenderedPageBreak/>
        <w:t>clearly within 30 days after were coded no (anything from 35 days after, to something like, “3rd Thursday of second month after election).</w:t>
      </w:r>
    </w:p>
    <w:p w:rsidR="009B3215" w:rsidRPr="009B3215" w:rsidRDefault="009B3215" w:rsidP="009B3215">
      <w:pPr>
        <w:ind w:left="720"/>
        <w:rPr>
          <w:rFonts w:eastAsia="Times New Roman" w:cstheme="minorHAnsi"/>
        </w:rPr>
      </w:pPr>
      <w:r w:rsidRPr="009B3215">
        <w:rPr>
          <w:rFonts w:eastAsia="Times New Roman" w:cstheme="minorHAnsi"/>
          <w:b/>
          <w:bCs/>
        </w:rPr>
        <w:t>Quarterly:</w:t>
      </w:r>
    </w:p>
    <w:p w:rsidR="009B3215" w:rsidRPr="009B3215" w:rsidRDefault="009B3215" w:rsidP="009B3215">
      <w:pPr>
        <w:ind w:left="720"/>
        <w:rPr>
          <w:rFonts w:eastAsia="Times New Roman" w:cstheme="minorHAnsi"/>
        </w:rPr>
      </w:pPr>
      <w:r w:rsidRPr="009B3215">
        <w:rPr>
          <w:rFonts w:eastAsia="Times New Roman" w:cstheme="minorHAnsi"/>
        </w:rPr>
        <w:t xml:space="preserve">If it was not specified in the FEC material that a report was required </w:t>
      </w:r>
      <w:r w:rsidRPr="009B3215">
        <w:rPr>
          <w:rFonts w:eastAsia="Times New Roman" w:cstheme="minorHAnsi"/>
          <w:u w:val="single"/>
        </w:rPr>
        <w:t>only</w:t>
      </w:r>
      <w:r w:rsidRPr="009B3215">
        <w:rPr>
          <w:rFonts w:eastAsia="Times New Roman" w:cstheme="minorHAnsi"/>
        </w:rPr>
        <w:t xml:space="preserve"> for election or non-election years, we assumed that any quarterly filing requirement referred to both election years and non-election year, and thus in these cases we coded this variable 1 for </w:t>
      </w:r>
      <w:r w:rsidRPr="009B3215">
        <w:rPr>
          <w:rFonts w:eastAsia="Times New Roman" w:cstheme="minorHAnsi"/>
          <w:u w:val="single"/>
        </w:rPr>
        <w:t>both</w:t>
      </w:r>
      <w:r w:rsidRPr="009B3215">
        <w:rPr>
          <w:rFonts w:eastAsia="Times New Roman" w:cstheme="minorHAnsi"/>
        </w:rPr>
        <w:t xml:space="preserve"> election years and non-election years.  This was the majority of “1” codes.  Also (perhaps quite obviously), if reports were due roughly every 3 months, coded 1.  </w:t>
      </w:r>
    </w:p>
    <w:p w:rsidR="009B3215" w:rsidRPr="009B3215" w:rsidRDefault="009B3215" w:rsidP="009B3215">
      <w:pPr>
        <w:spacing w:before="100" w:beforeAutospacing="1" w:after="100" w:afterAutospacing="1"/>
        <w:ind w:left="720" w:hanging="360"/>
        <w:rPr>
          <w:rFonts w:eastAsia="Times New Roman" w:cstheme="minorHAnsi"/>
        </w:rPr>
      </w:pPr>
      <w:r w:rsidRPr="009B3215">
        <w:rPr>
          <w:rFonts w:eastAsia="Times New Roman" w:cstheme="minorHAnsi"/>
          <w:b/>
          <w:bCs/>
        </w:rPr>
        <w:t>Semi-annual in non-election years</w:t>
      </w:r>
      <w:proofErr w:type="gramStart"/>
      <w:r w:rsidRPr="009B3215">
        <w:rPr>
          <w:rFonts w:eastAsia="Times New Roman" w:cstheme="minorHAnsi"/>
          <w:b/>
          <w:bCs/>
        </w:rPr>
        <w:t>:</w:t>
      </w:r>
      <w:proofErr w:type="gramEnd"/>
      <w:r w:rsidRPr="009B3215">
        <w:rPr>
          <w:rFonts w:eastAsia="Times New Roman" w:cstheme="minorHAnsi"/>
        </w:rPr>
        <w:br/>
        <w:t xml:space="preserve">Once again, if it was not specified in the FEC material that a report was required </w:t>
      </w:r>
      <w:r w:rsidRPr="009B3215">
        <w:rPr>
          <w:rFonts w:eastAsia="Times New Roman" w:cstheme="minorHAnsi"/>
          <w:u w:val="single"/>
        </w:rPr>
        <w:t>only</w:t>
      </w:r>
      <w:r w:rsidRPr="009B3215">
        <w:rPr>
          <w:rFonts w:eastAsia="Times New Roman" w:cstheme="minorHAnsi"/>
        </w:rPr>
        <w:t xml:space="preserve"> for either election or non-election years, we assumed that any quarterly filing requirement referred to both election years and non-election year, and thus in these cases we coded this variable 1 for </w:t>
      </w:r>
      <w:r w:rsidRPr="009B3215">
        <w:rPr>
          <w:rFonts w:eastAsia="Times New Roman" w:cstheme="minorHAnsi"/>
          <w:u w:val="single"/>
        </w:rPr>
        <w:t>both</w:t>
      </w:r>
      <w:r w:rsidRPr="009B3215">
        <w:rPr>
          <w:rFonts w:eastAsia="Times New Roman" w:cstheme="minorHAnsi"/>
        </w:rPr>
        <w:t xml:space="preserve"> election years and non-election years. </w:t>
      </w:r>
    </w:p>
    <w:p w:rsidR="009B3215" w:rsidRPr="009B3215" w:rsidRDefault="009B3215" w:rsidP="009B3215">
      <w:pPr>
        <w:spacing w:before="100" w:beforeAutospacing="1" w:after="100" w:afterAutospacing="1"/>
        <w:ind w:left="720" w:hanging="360"/>
        <w:rPr>
          <w:rFonts w:eastAsia="Times New Roman" w:cstheme="minorHAnsi"/>
        </w:rPr>
      </w:pPr>
      <w:r w:rsidRPr="009B3215">
        <w:rPr>
          <w:rFonts w:eastAsia="Times New Roman" w:cstheme="minorHAnsi"/>
          <w:b/>
          <w:bCs/>
        </w:rPr>
        <w:t>Annually in non-election years</w:t>
      </w:r>
      <w:proofErr w:type="gramStart"/>
      <w:r w:rsidRPr="009B3215">
        <w:rPr>
          <w:rFonts w:eastAsia="Times New Roman" w:cstheme="minorHAnsi"/>
          <w:b/>
          <w:bCs/>
        </w:rPr>
        <w:t>:</w:t>
      </w:r>
      <w:proofErr w:type="gramEnd"/>
      <w:r w:rsidRPr="009B3215">
        <w:rPr>
          <w:rFonts w:eastAsia="Times New Roman" w:cstheme="minorHAnsi"/>
        </w:rPr>
        <w:br/>
        <w:t>Same as semi-annual coding.  No distinction was made between “supplemental reports” and mere “reports.”</w:t>
      </w:r>
    </w:p>
    <w:p w:rsidR="009B3215" w:rsidRPr="009B3215" w:rsidRDefault="009B3215" w:rsidP="009B3215">
      <w:pPr>
        <w:spacing w:before="100" w:beforeAutospacing="1"/>
        <w:rPr>
          <w:rFonts w:eastAsia="Times New Roman" w:cstheme="minorHAnsi"/>
        </w:rPr>
      </w:pPr>
      <w:r w:rsidRPr="009B3215">
        <w:rPr>
          <w:rFonts w:eastAsia="Times New Roman" w:cstheme="minorHAnsi"/>
          <w:b/>
          <w:bCs/>
          <w:u w:val="single"/>
        </w:rPr>
        <w:t>State Laws Regarding Gubernatorial Campaign Expenditure Limits</w:t>
      </w:r>
    </w:p>
    <w:p w:rsidR="009B3215" w:rsidRPr="009B3215" w:rsidRDefault="009B3215" w:rsidP="009B3215">
      <w:pPr>
        <w:ind w:left="360"/>
        <w:rPr>
          <w:rFonts w:eastAsia="Times New Roman" w:cstheme="minorHAnsi"/>
        </w:rPr>
      </w:pPr>
      <w:r w:rsidRPr="009B3215">
        <w:rPr>
          <w:rFonts w:eastAsia="Times New Roman" w:cstheme="minorHAnsi"/>
        </w:rPr>
        <w:t>If a state has a law, it is listed in the appropriate cell.  The only exception to this occurs in the early years covered by the dataset, where laws themselves were referenced in the charts — in this case an abbreviated version was given without reference to specific section, sub-section, etc.</w:t>
      </w:r>
    </w:p>
    <w:p w:rsidR="009B3215" w:rsidRPr="009B3215" w:rsidRDefault="009B3215" w:rsidP="009B3215">
      <w:pPr>
        <w:rPr>
          <w:rFonts w:eastAsia="Times New Roman" w:cstheme="minorHAnsi"/>
        </w:rPr>
      </w:pPr>
      <w:r w:rsidRPr="009B3215">
        <w:rPr>
          <w:rFonts w:eastAsia="Times New Roman" w:cstheme="minorHAnsi"/>
        </w:rPr>
        <w:t> </w:t>
      </w:r>
    </w:p>
    <w:p w:rsidR="009B3215" w:rsidRPr="009B3215" w:rsidRDefault="009B3215" w:rsidP="009B3215">
      <w:pPr>
        <w:rPr>
          <w:rFonts w:eastAsia="Times New Roman" w:cstheme="minorHAnsi"/>
        </w:rPr>
      </w:pPr>
      <w:r w:rsidRPr="009B3215">
        <w:rPr>
          <w:rFonts w:eastAsia="Times New Roman" w:cstheme="minorHAnsi"/>
          <w:b/>
          <w:bCs/>
          <w:u w:val="single"/>
        </w:rPr>
        <w:t>State Laws Regarding Contributions by Individuals</w:t>
      </w:r>
    </w:p>
    <w:p w:rsidR="009B3215" w:rsidRPr="009B3215" w:rsidRDefault="009B3215" w:rsidP="009B3215">
      <w:pPr>
        <w:ind w:left="360"/>
        <w:rPr>
          <w:rFonts w:eastAsia="Times New Roman" w:cstheme="minorHAnsi"/>
        </w:rPr>
      </w:pPr>
      <w:r w:rsidRPr="009B3215">
        <w:rPr>
          <w:rFonts w:eastAsia="Times New Roman" w:cstheme="minorHAnsi"/>
        </w:rPr>
        <w:t>Please note that laws regarding spousal contributions usually specify that a spouse may make unlimited contributions; otherwise, spouses are subject to the same contribution limits as any other individual.</w:t>
      </w:r>
    </w:p>
    <w:p w:rsidR="009B3215" w:rsidRPr="009B3215" w:rsidRDefault="009B3215" w:rsidP="009B3215">
      <w:pPr>
        <w:rPr>
          <w:rFonts w:eastAsia="Times New Roman" w:cstheme="minorHAnsi"/>
        </w:rPr>
      </w:pPr>
      <w:r w:rsidRPr="009B3215">
        <w:rPr>
          <w:rFonts w:eastAsia="Times New Roman" w:cstheme="minorHAnsi"/>
        </w:rPr>
        <w:t> </w:t>
      </w:r>
    </w:p>
    <w:p w:rsidR="009B3215" w:rsidRPr="009B3215" w:rsidRDefault="009B3215" w:rsidP="009B3215">
      <w:pPr>
        <w:rPr>
          <w:rFonts w:eastAsia="Times New Roman" w:cstheme="minorHAnsi"/>
        </w:rPr>
      </w:pPr>
      <w:r w:rsidRPr="009B3215">
        <w:rPr>
          <w:rFonts w:eastAsia="Times New Roman" w:cstheme="minorHAnsi"/>
          <w:b/>
          <w:bCs/>
          <w:u w:val="single"/>
        </w:rPr>
        <w:t>State Laws Regarding Contributions by Organizations</w:t>
      </w:r>
    </w:p>
    <w:p w:rsidR="009B3215" w:rsidRPr="009B3215" w:rsidRDefault="009B3215" w:rsidP="009B3215">
      <w:pPr>
        <w:ind w:left="360"/>
        <w:rPr>
          <w:rFonts w:eastAsia="Times New Roman" w:cstheme="minorHAnsi"/>
        </w:rPr>
      </w:pPr>
      <w:r w:rsidRPr="009B3215">
        <w:rPr>
          <w:rFonts w:eastAsia="Times New Roman" w:cstheme="minorHAnsi"/>
        </w:rPr>
        <w:t>All columns — Coded 1 if there are any limits on contributions to a gubernatorial candidate or relevant candidate committee.  Generally listed verbatim in relevant sections.  In some cases the wording was condensed or paraphrased, if it was possible without loss of clarity.</w:t>
      </w:r>
    </w:p>
    <w:p w:rsidR="009B3215" w:rsidRPr="009B3215" w:rsidRDefault="009B3215" w:rsidP="009B3215">
      <w:pPr>
        <w:spacing w:before="100" w:beforeAutospacing="1"/>
        <w:rPr>
          <w:rFonts w:eastAsia="Times New Roman" w:cstheme="minorHAnsi"/>
        </w:rPr>
      </w:pPr>
      <w:r w:rsidRPr="009B3215">
        <w:rPr>
          <w:rFonts w:eastAsia="Times New Roman" w:cstheme="minorHAnsi"/>
          <w:b/>
          <w:bCs/>
          <w:u w:val="single"/>
        </w:rPr>
        <w:t>State Laws Regarding Election Funding: Tax Provisions and Public Financing</w:t>
      </w:r>
    </w:p>
    <w:p w:rsidR="009B3215" w:rsidRPr="009B3215" w:rsidRDefault="009B3215" w:rsidP="009B3215">
      <w:pPr>
        <w:ind w:left="360"/>
        <w:rPr>
          <w:rFonts w:eastAsia="Times New Roman" w:cstheme="minorHAnsi"/>
        </w:rPr>
      </w:pPr>
      <w:r w:rsidRPr="009B3215">
        <w:rPr>
          <w:rFonts w:eastAsia="Times New Roman" w:cstheme="minorHAnsi"/>
        </w:rPr>
        <w:t xml:space="preserve">Entered as listed in the original FEC </w:t>
      </w:r>
      <w:r w:rsidRPr="009B3215">
        <w:rPr>
          <w:rFonts w:eastAsia="Times New Roman" w:cstheme="minorHAnsi"/>
          <w:i/>
          <w:iCs/>
        </w:rPr>
        <w:t xml:space="preserve">Campaign Finance Law </w:t>
      </w:r>
      <w:r w:rsidRPr="009B3215">
        <w:rPr>
          <w:rFonts w:eastAsia="Times New Roman" w:cstheme="minorHAnsi"/>
        </w:rPr>
        <w:t>charts.  Years 1978 and 1981 had the final column (Distribution of Funds) removed, as the charts for those yea</w:t>
      </w:r>
      <w:r>
        <w:rPr>
          <w:rFonts w:eastAsia="Times New Roman" w:cstheme="minorHAnsi"/>
        </w:rPr>
        <w:t xml:space="preserve">rs were not in the same </w:t>
      </w:r>
      <w:proofErr w:type="gramStart"/>
      <w:r>
        <w:rPr>
          <w:rFonts w:eastAsia="Times New Roman" w:cstheme="minorHAnsi"/>
        </w:rPr>
        <w:t>format.</w:t>
      </w:r>
      <w:proofErr w:type="gramEnd"/>
    </w:p>
    <w:p w:rsidR="00B67806" w:rsidRPr="009B3215" w:rsidRDefault="00B67806">
      <w:pPr>
        <w:rPr>
          <w:rFonts w:cstheme="minorHAnsi"/>
        </w:rPr>
      </w:pPr>
    </w:p>
    <w:sectPr w:rsidR="00B67806" w:rsidRPr="009B32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ED" w:rsidRDefault="00DA74ED" w:rsidP="009B3215">
      <w:r>
        <w:separator/>
      </w:r>
    </w:p>
  </w:endnote>
  <w:endnote w:type="continuationSeparator" w:id="0">
    <w:p w:rsidR="00DA74ED" w:rsidRDefault="00DA74ED" w:rsidP="009B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ED" w:rsidRDefault="00DA74ED" w:rsidP="009B3215">
      <w:r>
        <w:separator/>
      </w:r>
    </w:p>
  </w:footnote>
  <w:footnote w:type="continuationSeparator" w:id="0">
    <w:p w:rsidR="00DA74ED" w:rsidRDefault="00DA74ED" w:rsidP="009B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15" w:rsidRDefault="009B3215">
    <w:pPr>
      <w:pStyle w:val="Header"/>
    </w:pPr>
    <w:r>
      <w:t xml:space="preserve">Available at </w:t>
    </w:r>
    <w:hyperlink r:id="rId1" w:history="1">
      <w:r w:rsidRPr="00042884">
        <w:rPr>
          <w:rStyle w:val="Hyperlink"/>
        </w:rPr>
        <w:t>http://go.lehigh.edu/jjensen</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15"/>
    <w:rsid w:val="00714768"/>
    <w:rsid w:val="009B3215"/>
    <w:rsid w:val="009F6137"/>
    <w:rsid w:val="00B67806"/>
    <w:rsid w:val="00DA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DA1F"/>
  <w15:chartTrackingRefBased/>
  <w15:docId w15:val="{4CCD9BED-FDDD-4762-8653-D3C70A68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321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2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321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3215"/>
    <w:pPr>
      <w:tabs>
        <w:tab w:val="center" w:pos="4680"/>
        <w:tab w:val="right" w:pos="9360"/>
      </w:tabs>
    </w:pPr>
  </w:style>
  <w:style w:type="character" w:customStyle="1" w:styleId="HeaderChar">
    <w:name w:val="Header Char"/>
    <w:basedOn w:val="DefaultParagraphFont"/>
    <w:link w:val="Header"/>
    <w:uiPriority w:val="99"/>
    <w:rsid w:val="009B3215"/>
  </w:style>
  <w:style w:type="paragraph" w:styleId="Footer">
    <w:name w:val="footer"/>
    <w:basedOn w:val="Normal"/>
    <w:link w:val="FooterChar"/>
    <w:uiPriority w:val="99"/>
    <w:unhideWhenUsed/>
    <w:rsid w:val="009B3215"/>
    <w:pPr>
      <w:tabs>
        <w:tab w:val="center" w:pos="4680"/>
        <w:tab w:val="right" w:pos="9360"/>
      </w:tabs>
    </w:pPr>
  </w:style>
  <w:style w:type="character" w:customStyle="1" w:styleId="FooterChar">
    <w:name w:val="Footer Char"/>
    <w:basedOn w:val="DefaultParagraphFont"/>
    <w:link w:val="Footer"/>
    <w:uiPriority w:val="99"/>
    <w:rsid w:val="009B3215"/>
  </w:style>
  <w:style w:type="character" w:styleId="Hyperlink">
    <w:name w:val="Hyperlink"/>
    <w:basedOn w:val="DefaultParagraphFont"/>
    <w:uiPriority w:val="99"/>
    <w:unhideWhenUsed/>
    <w:rsid w:val="009B3215"/>
    <w:rPr>
      <w:color w:val="0563C1" w:themeColor="hyperlink"/>
      <w:u w:val="single"/>
    </w:rPr>
  </w:style>
  <w:style w:type="character" w:styleId="Emphasis">
    <w:name w:val="Emphasis"/>
    <w:basedOn w:val="DefaultParagraphFont"/>
    <w:uiPriority w:val="20"/>
    <w:qFormat/>
    <w:rsid w:val="009B3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6573">
      <w:bodyDiv w:val="1"/>
      <w:marLeft w:val="0"/>
      <w:marRight w:val="0"/>
      <w:marTop w:val="0"/>
      <w:marBottom w:val="0"/>
      <w:divBdr>
        <w:top w:val="none" w:sz="0" w:space="0" w:color="auto"/>
        <w:left w:val="none" w:sz="0" w:space="0" w:color="auto"/>
        <w:bottom w:val="none" w:sz="0" w:space="0" w:color="auto"/>
        <w:right w:val="none" w:sz="0" w:space="0" w:color="auto"/>
      </w:divBdr>
    </w:div>
    <w:div w:id="189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go.lehigh.edu/jjen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Jensen</dc:creator>
  <cp:keywords/>
  <dc:description/>
  <cp:lastModifiedBy>Jennifer M Jensen</cp:lastModifiedBy>
  <cp:revision>3</cp:revision>
  <dcterms:created xsi:type="dcterms:W3CDTF">2018-09-24T20:00:00Z</dcterms:created>
  <dcterms:modified xsi:type="dcterms:W3CDTF">2018-09-24T20:09:00Z</dcterms:modified>
</cp:coreProperties>
</file>